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0f0f0" w:val="clear"/>
        <w:spacing w:after="0" w:before="0" w:line="264" w:lineRule="auto"/>
        <w:rPr>
          <w:rFonts w:ascii="Raleway" w:cs="Raleway" w:eastAsia="Raleway" w:hAnsi="Raleway"/>
          <w:b w:val="1"/>
          <w:bCs w:val="1"/>
          <w:color w:val="cc3333"/>
          <w:sz w:val="60"/>
          <w:szCs w:val="60"/>
        </w:rPr>
      </w:pPr>
      <w:bookmarkStart w:colFirst="0" w:colLast="0" w:name="_cqsb2b6pnpcx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color w:val="cc3333"/>
          <w:sz w:val="60"/>
          <w:szCs w:val="60"/>
          <w:rtl w:val="0"/>
        </w:rPr>
        <w:t xml:space="preserve">Sondenernährung bei Hund und Katze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Datum13. Apr. 2026</w:t>
      </w:r>
    </w:p>
    <w:p w:rsidR="00000000" w:rsidDel="00000000" w:rsidP="00000000" w:rsidRDefault="00000000" w:rsidRPr="00000000" w14:paraId="00000004">
      <w:pPr>
        <w:shd w:fill="ffffff" w:val="clear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Uhrzeit20:00 - 21:00 CEST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https://www.vet-webinar.com/de/webinare/detail/d/sondenernahrung-bei-hund-und-katze/3356/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Die Sondenernährung mittels nasogastrischer, nasoösophagealer oder ösophagealer Sonde stellt</w:t>
      </w:r>
    </w:p>
    <w:p w:rsidR="00000000" w:rsidDel="00000000" w:rsidP="00000000" w:rsidRDefault="00000000" w:rsidRPr="00000000" w14:paraId="00000009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bei Hund und Katze eine wertvolle Maßnahme zur frühzeitigen enteralen Versorgung dar und ist</w:t>
      </w:r>
    </w:p>
    <w:p w:rsidR="00000000" w:rsidDel="00000000" w:rsidP="00000000" w:rsidRDefault="00000000" w:rsidRPr="00000000" w14:paraId="0000000A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insbesondere bei Anorexie, Dysphagie, schwerer systemischer Erkrankung oder erhöhtem</w:t>
      </w:r>
    </w:p>
    <w:p w:rsidR="00000000" w:rsidDel="00000000" w:rsidP="00000000" w:rsidRDefault="00000000" w:rsidRPr="00000000" w14:paraId="0000000B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Energiebedarf indiziert. Im Webinar werden die Indikationen, die Auswahl der geeigneten</w:t>
      </w:r>
    </w:p>
    <w:p w:rsidR="00000000" w:rsidDel="00000000" w:rsidP="00000000" w:rsidRDefault="00000000" w:rsidRPr="00000000" w14:paraId="0000000C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Sondenart sowie die praktische Platzierungstechnik detailliert und praxistauglich erläutert. Ein</w:t>
      </w:r>
    </w:p>
    <w:p w:rsidR="00000000" w:rsidDel="00000000" w:rsidP="00000000" w:rsidRDefault="00000000" w:rsidRPr="00000000" w14:paraId="0000000D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weiterer Schwerpunkt liegt auf der Berechnung des Energiebedarfs, dem schrittweisen</w:t>
      </w:r>
    </w:p>
    <w:p w:rsidR="00000000" w:rsidDel="00000000" w:rsidP="00000000" w:rsidRDefault="00000000" w:rsidRPr="00000000" w14:paraId="0000000E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Fütterungsaufbau, der Auswahl geeigneter Diäten und der Überwachung der Verträglichkeit, um</w:t>
      </w:r>
    </w:p>
    <w:p w:rsidR="00000000" w:rsidDel="00000000" w:rsidP="00000000" w:rsidRDefault="00000000" w:rsidRPr="00000000" w14:paraId="0000000F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eine sichere und effektive enterale Ernährung bei Hund und Katze zu gewährleisten.</w:t>
      </w:r>
    </w:p>
    <w:p w:rsidR="00000000" w:rsidDel="00000000" w:rsidP="00000000" w:rsidRDefault="00000000" w:rsidRPr="00000000" w14:paraId="00000010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bCs w:val="1"/>
          <w:color w:val="666666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666666"/>
          <w:sz w:val="30"/>
          <w:szCs w:val="30"/>
          <w:highlight w:val="white"/>
          <w:rtl w:val="0"/>
        </w:rPr>
        <w:t xml:space="preserve">Nadja Sigrist</w:t>
      </w:r>
    </w:p>
    <w:p w:rsidR="00000000" w:rsidDel="00000000" w:rsidP="00000000" w:rsidRDefault="00000000" w:rsidRPr="00000000" w14:paraId="00000012">
      <w:pPr>
        <w:spacing w:line="240" w:lineRule="auto"/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PD Dr.med.vet. Nadja Sigrist, Small animal specialist FVH, DACVECC, DECVECC, EBVS specialist in veterinary emergency and critical care.</w:t>
      </w:r>
    </w:p>
    <w:p w:rsidR="00000000" w:rsidDel="00000000" w:rsidP="00000000" w:rsidRDefault="00000000" w:rsidRPr="00000000" w14:paraId="00000013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After graduating from the veterinary school of the university of Bern in 1996, Nadja completed a doctoral thesis and trained as a specialist for small animals (FVH) before completing a residency in Veterinary Emergency and Critical Care. She is an ACVECC Diplomate since 2004 and ECVECC founding Diplomate since 2014. </w:t>
      </w:r>
    </w:p>
    <w:p w:rsidR="00000000" w:rsidDel="00000000" w:rsidP="00000000" w:rsidRDefault="00000000" w:rsidRPr="00000000" w14:paraId="00000014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From 2005-2010 she was senior clinician in ECC medicine and helped developed the emergency and ICU service at the Small Animal Hospital of the Vetsuisse Faculty of Bern and from 2013-2020 she was senior clinician and the head of the Small Animal Intensive Care Unit at the Small Animal Hospital of the Vetsuisse Faculty of Zürich. </w:t>
      </w:r>
    </w:p>
    <w:p w:rsidR="00000000" w:rsidDel="00000000" w:rsidP="00000000" w:rsidRDefault="00000000" w:rsidRPr="00000000" w14:paraId="00000015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color w:val="666666"/>
          <w:sz w:val="27"/>
          <w:szCs w:val="27"/>
          <w:highlight w:val="white"/>
          <w:rtl w:val="0"/>
        </w:rPr>
        <w:t xml:space="preserve">In 2021, Nadja left the university setting to concentrate on her own company VET ECC CE (Veterinary Emergency and Critical Care Consulting &amp; Education).</w:t>
      </w:r>
    </w:p>
    <w:p w:rsidR="00000000" w:rsidDel="00000000" w:rsidP="00000000" w:rsidRDefault="00000000" w:rsidRPr="00000000" w14:paraId="00000016">
      <w:pPr>
        <w:rPr>
          <w:color w:val="666666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vet-webinar.com/de/webinare/detail/d/sondenernahrung-bei-hund-und-katze/3356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