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hyperlink r:id="rId6">
        <w:r w:rsidDel="00000000" w:rsidR="00000000" w:rsidRPr="00000000">
          <w:rPr>
            <w:color w:val="1155cc"/>
            <w:u w:val="single"/>
            <w:rtl w:val="0"/>
          </w:rPr>
          <w:t xml:space="preserve">https://www.vet-webinar.com/de/webinar-live/detail/d/therapie-des-diabetes-mellitus-und-diabetische-remission-bei-der-katze/3300/</w:t>
        </w:r>
      </w:hyperlink>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bCs w:val="1"/>
          <w:color w:val="333333"/>
          <w:sz w:val="36"/>
          <w:szCs w:val="36"/>
        </w:rPr>
      </w:pPr>
      <w:bookmarkStart w:colFirst="0" w:colLast="0" w:name="_hljxraktmaj" w:id="0"/>
      <w:bookmarkEnd w:id="0"/>
      <w:r w:rsidDel="00000000" w:rsidR="00000000" w:rsidRPr="00000000">
        <w:rPr>
          <w:rFonts w:ascii="Raleway" w:cs="Raleway" w:eastAsia="Raleway" w:hAnsi="Raleway"/>
          <w:b w:val="1"/>
          <w:bCs w:val="1"/>
          <w:color w:val="333333"/>
          <w:sz w:val="36"/>
          <w:szCs w:val="36"/>
          <w:rtl w:val="0"/>
        </w:rPr>
        <w:t xml:space="preserve">Therapie des Diabetes mellitus und diabetische Remission bei der Katze</w:t>
      </w:r>
    </w:p>
    <w:p w:rsidR="00000000" w:rsidDel="00000000" w:rsidP="00000000" w:rsidRDefault="00000000" w:rsidRPr="00000000" w14:paraId="00000003">
      <w:pPr>
        <w:shd w:fill="ffffff" w:val="clear"/>
        <w:ind w:left="-440" w:right="-440" w:firstLine="0"/>
        <w:rPr>
          <w:color w:val="212529"/>
          <w:sz w:val="21"/>
          <w:szCs w:val="21"/>
        </w:rPr>
      </w:pPr>
      <w:r w:rsidDel="00000000" w:rsidR="00000000" w:rsidRPr="00000000">
        <w:rPr>
          <w:color w:val="212529"/>
          <w:sz w:val="21"/>
          <w:szCs w:val="21"/>
          <w:rtl w:val="0"/>
        </w:rPr>
        <w:t xml:space="preserve"> 5. März 2026</w:t>
      </w:r>
    </w:p>
    <w:p w:rsidR="00000000" w:rsidDel="00000000" w:rsidP="00000000" w:rsidRDefault="00000000" w:rsidRPr="00000000" w14:paraId="00000004">
      <w:pPr>
        <w:shd w:fill="ffffff" w:val="clear"/>
        <w:ind w:left="-440" w:right="-440" w:firstLine="0"/>
        <w:rPr>
          <w:color w:val="212529"/>
          <w:sz w:val="21"/>
          <w:szCs w:val="21"/>
        </w:rPr>
      </w:pPr>
      <w:r w:rsidDel="00000000" w:rsidR="00000000" w:rsidRPr="00000000">
        <w:rPr>
          <w:color w:val="212529"/>
          <w:sz w:val="21"/>
          <w:szCs w:val="21"/>
          <w:rtl w:val="0"/>
        </w:rPr>
        <w:t xml:space="preserve"> 20:00 - 22:00 CET</w:t>
      </w:r>
    </w:p>
    <w:p w:rsidR="00000000" w:rsidDel="00000000" w:rsidP="00000000" w:rsidRDefault="00000000" w:rsidRPr="00000000" w14:paraId="00000005">
      <w:pPr>
        <w:shd w:fill="ffffff" w:val="clear"/>
        <w:spacing w:after="20" w:before="20" w:lineRule="auto"/>
        <w:ind w:left="-220" w:right="-220" w:firstLine="0"/>
        <w:rPr>
          <w:rFonts w:ascii="Raleway" w:cs="Raleway" w:eastAsia="Raleway" w:hAnsi="Raleway"/>
          <w:color w:val="cc3333"/>
          <w:sz w:val="45"/>
          <w:szCs w:val="45"/>
        </w:rPr>
      </w:pPr>
      <w:r w:rsidDel="00000000" w:rsidR="00000000" w:rsidRPr="00000000">
        <w:rPr>
          <w:rtl w:val="0"/>
        </w:rPr>
      </w:r>
    </w:p>
    <w:p w:rsidR="00000000" w:rsidDel="00000000" w:rsidP="00000000" w:rsidRDefault="00000000" w:rsidRPr="00000000" w14:paraId="00000006">
      <w:pPr>
        <w:shd w:fill="ffffff" w:val="clear"/>
        <w:ind w:left="-220" w:right="-220" w:firstLine="0"/>
        <w:rPr>
          <w:color w:val="212529"/>
          <w:sz w:val="21"/>
          <w:szCs w:val="21"/>
        </w:rPr>
      </w:pPr>
      <w:r w:rsidDel="00000000" w:rsidR="00000000" w:rsidRPr="00000000">
        <w:rPr>
          <w:color w:val="212529"/>
          <w:sz w:val="21"/>
          <w:szCs w:val="21"/>
          <w:rtl w:val="0"/>
        </w:rPr>
        <w:t xml:space="preserve">Beschreibung</w:t>
      </w:r>
    </w:p>
    <w:p w:rsidR="00000000" w:rsidDel="00000000" w:rsidP="00000000" w:rsidRDefault="00000000" w:rsidRPr="00000000" w14:paraId="00000007">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Diabetes mellitus ist neben der Hyperthyreose die häufigste Endokrinopathie bei Katzen. Dabei unterscheiden sich Katze und Hund in Typ des Diabetes mellitus und in der Therapie grundlegend. Bei Katzen ist es je nach Katze und Therapieverlauf möglich, dass die Katze in Remission geht und kein Insulin mehr benötigt. Warum dies bei Katzen möglich ist, wie eine Remission erreicht werden kann und wie lange Katzen in Remission bleiben können bespricht Dr. Christiane Stengel in diesem Webinar. Im Anschluss darauf geht Dr. Luisa Zillinger von Royal Canin auf die Rolle der Ernährung bei der Therapie von Diabetes ein.</w:t>
      </w:r>
    </w:p>
    <w:p w:rsidR="00000000" w:rsidDel="00000000" w:rsidP="00000000" w:rsidRDefault="00000000" w:rsidRPr="00000000" w14:paraId="00000008">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Sprache: Deutsch</w:t>
      </w:r>
    </w:p>
    <w:p w:rsidR="00000000" w:rsidDel="00000000" w:rsidP="00000000" w:rsidRDefault="00000000" w:rsidRPr="00000000" w14:paraId="00000009">
      <w:pPr>
        <w:shd w:fill="f5f5f5" w:val="clear"/>
        <w:spacing w:after="520" w:lineRule="auto"/>
        <w:ind w:left="-440" w:right="-440" w:firstLine="0"/>
        <w:rPr>
          <w:color w:val="212529"/>
          <w:sz w:val="21"/>
          <w:szCs w:val="21"/>
        </w:rPr>
      </w:pPr>
      <w:r w:rsidDel="00000000" w:rsidR="00000000" w:rsidRPr="00000000">
        <w:rPr>
          <w:color w:val="212529"/>
          <w:sz w:val="21"/>
          <w:szCs w:val="21"/>
        </w:rPr>
        <w:drawing>
          <wp:inline distB="114300" distT="114300" distL="114300" distR="114300">
            <wp:extent cx="635000" cy="635000"/>
            <wp:effectExtent b="0" l="0" r="0" t="0"/>
            <wp:docPr descr="Christiane_Stengel_200x200.jpg" id="1" name="image1.png"/>
            <a:graphic>
              <a:graphicData uri="http://schemas.openxmlformats.org/drawingml/2006/picture">
                <pic:pic>
                  <pic:nvPicPr>
                    <pic:cNvPr descr="Christiane_Stengel_200x200.jpg" id="0" name="image1.png"/>
                    <pic:cNvPicPr preferRelativeResize="0"/>
                  </pic:nvPicPr>
                  <pic:blipFill>
                    <a:blip r:embed="rId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hd w:fill="f5f5f5" w:val="clear"/>
        <w:spacing w:after="520" w:lineRule="auto"/>
        <w:ind w:left="-440" w:right="-440" w:firstLine="0"/>
        <w:rPr>
          <w:b w:val="1"/>
          <w:bCs w:val="1"/>
          <w:color w:val="212529"/>
          <w:sz w:val="21"/>
          <w:szCs w:val="21"/>
        </w:rPr>
      </w:pPr>
      <w:r w:rsidDel="00000000" w:rsidR="00000000" w:rsidRPr="00000000">
        <w:rPr>
          <w:b w:val="1"/>
          <w:bCs w:val="1"/>
          <w:color w:val="212529"/>
          <w:sz w:val="21"/>
          <w:szCs w:val="21"/>
          <w:rtl w:val="0"/>
        </w:rPr>
        <w:t xml:space="preserve">Christiane Stengel</w:t>
      </w:r>
    </w:p>
    <w:p w:rsidR="00000000" w:rsidDel="00000000" w:rsidP="00000000" w:rsidRDefault="00000000" w:rsidRPr="00000000" w14:paraId="0000000B">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Dr. Christiane Stengel, Dipl ECVIM-CA, FTÄ für Innere Medizin der Klein- und Heimtiere</w:t>
      </w:r>
    </w:p>
    <w:p w:rsidR="00000000" w:rsidDel="00000000" w:rsidP="00000000" w:rsidRDefault="00000000" w:rsidRPr="00000000" w14:paraId="0000000C">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1992 – 1997 Studium der Veterinärmedizin an der Tierärztlichen Hochschule Hannover</w:t>
        <w:br w:type="textWrapping"/>
        <w:t xml:space="preserve">1998 – 2004 Anstellung in der Medizinischen Tierklinik der LMU München. In dieser Zeit</w:t>
        <w:br w:type="textWrapping"/>
        <w:t xml:space="preserve">Dissertation über die FIV-Infektion der Katze;</w:t>
        <w:br w:type="textWrapping"/>
        <w:t xml:space="preserve">Weiterbildung zur Fachtierärztin für Innere Medizin der Kleintiere;</w:t>
        <w:br w:type="textWrapping"/>
        <w:t xml:space="preserve">Internship und Residency des European College of Veterinary Internal Medicine</w:t>
        <w:br w:type="textWrapping"/>
        <w:t xml:space="preserve">Oberärztin in der Inneren Medizin</w:t>
        <w:br w:type="textWrapping"/>
        <w:t xml:space="preserve">2005 – Feb 2020: Anstellung als Spezialistin für Innere Medizin und Leiterin der Abteilung für Innere Medizin an der Tierklinik Hofheim</w:t>
        <w:br w:type="textWrapping"/>
        <w:t xml:space="preserve">Seit 2020 Inhaber des Telemedizinservice zweitmeinung-tierarzt</w:t>
        <w:br w:type="textWrapping"/>
        <w:t xml:space="preserve">Seit 2021 Anstellung in der Tierarztpraxis Horrem als Spezialistin für Innere Medizin</w:t>
        <w:br w:type="textWrapping"/>
        <w:br w:type="textWrapping"/>
        <w:t xml:space="preserve">Wissenschaftliche Schwerpunkte:</w:t>
        <w:br w:type="textWrapping"/>
        <w:t xml:space="preserve">• Endokrinologie</w:t>
        <w:br w:type="textWrapping"/>
        <w:t xml:space="preserve">• Urologie, Nephrologie</w:t>
        <w:br w:type="textWrapping"/>
        <w:t xml:space="preserve">• Infektionserkrankungen</w:t>
        <w:br w:type="textWrapping"/>
        <w:t xml:space="preserve">• Erkrankungen des oberen Respirationstraktes</w:t>
        <w:br w:type="textWrapping"/>
        <w:br w:type="textWrapping"/>
        <w:t xml:space="preserve">Tätigkeitsschwerpunkte:</w:t>
        <w:br w:type="textWrapping"/>
        <w:t xml:space="preserve">• Endokrinologie</w:t>
        <w:br w:type="textWrapping"/>
        <w:t xml:space="preserve">• Urologie, Nephrologie</w:t>
        <w:br w:type="textWrapping"/>
        <w:t xml:space="preserve">• Erkrankungen des oberen Respirationstraktes</w:t>
        <w:br w:type="textWrapping"/>
        <w:t xml:space="preserve">• Innere Medizin gesamt</w:t>
      </w:r>
    </w:p>
    <w:p w:rsidR="00000000" w:rsidDel="00000000" w:rsidP="00000000" w:rsidRDefault="00000000" w:rsidRPr="00000000" w14:paraId="0000000D">
      <w:pPr>
        <w:shd w:fill="f5f5f5" w:val="clear"/>
        <w:spacing w:after="520" w:lineRule="auto"/>
        <w:ind w:left="-440" w:right="-440" w:firstLine="0"/>
        <w:rPr>
          <w:b w:val="1"/>
          <w:bCs w:val="1"/>
          <w:color w:val="212529"/>
          <w:sz w:val="21"/>
          <w:szCs w:val="21"/>
        </w:rPr>
      </w:pPr>
      <w:r w:rsidDel="00000000" w:rsidR="00000000" w:rsidRPr="00000000">
        <w:rPr>
          <w:b w:val="1"/>
          <w:bCs w:val="1"/>
          <w:color w:val="212529"/>
          <w:sz w:val="21"/>
          <w:szCs w:val="21"/>
          <w:rtl w:val="0"/>
        </w:rPr>
        <w:t xml:space="preserve">Luisa Zillinger</w:t>
      </w:r>
    </w:p>
    <w:p w:rsidR="00000000" w:rsidDel="00000000" w:rsidP="00000000" w:rsidRDefault="00000000" w:rsidRPr="00000000" w14:paraId="0000000E">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Luisa Zillinger, PhD</w:t>
      </w:r>
    </w:p>
    <w:p w:rsidR="00000000" w:rsidDel="00000000" w:rsidP="00000000" w:rsidRDefault="00000000" w:rsidRPr="00000000" w14:paraId="0000000F">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Beruflicher Werdegang:</w:t>
      </w:r>
    </w:p>
    <w:p w:rsidR="00000000" w:rsidDel="00000000" w:rsidP="00000000" w:rsidRDefault="00000000" w:rsidRPr="00000000" w14:paraId="00000010">
      <w:pPr>
        <w:numPr>
          <w:ilvl w:val="0"/>
          <w:numId w:val="2"/>
        </w:numPr>
        <w:spacing w:after="0" w:afterAutospacing="0" w:lineRule="auto"/>
        <w:ind w:left="280" w:right="-440" w:hanging="360"/>
      </w:pPr>
      <w:r w:rsidDel="00000000" w:rsidR="00000000" w:rsidRPr="00000000">
        <w:rPr>
          <w:color w:val="212529"/>
          <w:sz w:val="21"/>
          <w:szCs w:val="21"/>
          <w:rtl w:val="0"/>
        </w:rPr>
        <w:t xml:space="preserve">seit 10/2025: Health Affairs and Contents Approval Manager bei Royal Canin</w:t>
      </w:r>
    </w:p>
    <w:p w:rsidR="00000000" w:rsidDel="00000000" w:rsidP="00000000" w:rsidRDefault="00000000" w:rsidRPr="00000000" w14:paraId="00000011">
      <w:pPr>
        <w:numPr>
          <w:ilvl w:val="0"/>
          <w:numId w:val="2"/>
        </w:numPr>
        <w:spacing w:after="0" w:afterAutospacing="0" w:lineRule="auto"/>
        <w:ind w:left="280" w:right="-440" w:hanging="360"/>
      </w:pPr>
      <w:r w:rsidDel="00000000" w:rsidR="00000000" w:rsidRPr="00000000">
        <w:rPr>
          <w:color w:val="212529"/>
          <w:sz w:val="21"/>
          <w:szCs w:val="21"/>
          <w:rtl w:val="0"/>
        </w:rPr>
        <w:t xml:space="preserve">03/2025 - 09/2025: Solution Implementation Consultant bei Vetoquinol</w:t>
      </w:r>
    </w:p>
    <w:p w:rsidR="00000000" w:rsidDel="00000000" w:rsidP="00000000" w:rsidRDefault="00000000" w:rsidRPr="00000000" w14:paraId="00000012">
      <w:pPr>
        <w:numPr>
          <w:ilvl w:val="0"/>
          <w:numId w:val="2"/>
        </w:numPr>
        <w:spacing w:after="0" w:afterAutospacing="0" w:lineRule="auto"/>
        <w:ind w:left="280" w:right="-440" w:hanging="360"/>
      </w:pPr>
      <w:r w:rsidDel="00000000" w:rsidR="00000000" w:rsidRPr="00000000">
        <w:rPr>
          <w:color w:val="212529"/>
          <w:sz w:val="21"/>
          <w:szCs w:val="21"/>
          <w:rtl w:val="0"/>
        </w:rPr>
        <w:t xml:space="preserve">06/2024 – 11/2024 Zusatzqualifikation „Life Science Management“</w:t>
      </w:r>
    </w:p>
    <w:p w:rsidR="00000000" w:rsidDel="00000000" w:rsidP="00000000" w:rsidRDefault="00000000" w:rsidRPr="00000000" w14:paraId="00000013">
      <w:pPr>
        <w:numPr>
          <w:ilvl w:val="0"/>
          <w:numId w:val="2"/>
        </w:numPr>
        <w:spacing w:after="0" w:afterAutospacing="0" w:lineRule="auto"/>
        <w:ind w:left="280" w:right="-440" w:hanging="360"/>
      </w:pPr>
      <w:r w:rsidDel="00000000" w:rsidR="00000000" w:rsidRPr="00000000">
        <w:rPr>
          <w:color w:val="212529"/>
          <w:sz w:val="21"/>
          <w:szCs w:val="21"/>
          <w:rtl w:val="0"/>
        </w:rPr>
        <w:t xml:space="preserve">11/2020 – 05/2024: Wissenschaftliche Mitarbeiterin, Wissenschaftliche Mitarbeiterin Stiftung Tiermedizinische Hochschule Hannover, Institut für Physiologie und Zellbiologie</w:t>
      </w:r>
    </w:p>
    <w:p w:rsidR="00000000" w:rsidDel="00000000" w:rsidP="00000000" w:rsidRDefault="00000000" w:rsidRPr="00000000" w14:paraId="00000014">
      <w:pPr>
        <w:numPr>
          <w:ilvl w:val="0"/>
          <w:numId w:val="2"/>
        </w:numPr>
        <w:spacing w:after="760" w:lineRule="auto"/>
        <w:ind w:left="280" w:right="-440" w:hanging="360"/>
      </w:pPr>
      <w:r w:rsidDel="00000000" w:rsidR="00000000" w:rsidRPr="00000000">
        <w:rPr>
          <w:color w:val="212529"/>
          <w:sz w:val="21"/>
          <w:szCs w:val="21"/>
          <w:rtl w:val="0"/>
        </w:rPr>
        <w:t xml:space="preserve">06/2020 – 11/2020: Kleintierärztin SmartVet, Hannover</w:t>
      </w:r>
    </w:p>
    <w:p w:rsidR="00000000" w:rsidDel="00000000" w:rsidP="00000000" w:rsidRDefault="00000000" w:rsidRPr="00000000" w14:paraId="00000015">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Hochschulbildung:</w:t>
      </w:r>
    </w:p>
    <w:p w:rsidR="00000000" w:rsidDel="00000000" w:rsidP="00000000" w:rsidRDefault="00000000" w:rsidRPr="00000000" w14:paraId="00000016">
      <w:pPr>
        <w:numPr>
          <w:ilvl w:val="0"/>
          <w:numId w:val="1"/>
        </w:numPr>
        <w:spacing w:after="0" w:afterAutospacing="0" w:lineRule="auto"/>
        <w:ind w:left="280" w:right="-440" w:hanging="360"/>
      </w:pPr>
      <w:r w:rsidDel="00000000" w:rsidR="00000000" w:rsidRPr="00000000">
        <w:rPr>
          <w:color w:val="212529"/>
          <w:sz w:val="21"/>
          <w:szCs w:val="21"/>
          <w:rtl w:val="0"/>
        </w:rPr>
        <w:t xml:space="preserve">11/2020 – 04/2024: PhD Programm "Veterinary Research and Animal Biology" Stiftung Tierärztliche Hochschule Hannover</w:t>
      </w:r>
    </w:p>
    <w:p w:rsidR="00000000" w:rsidDel="00000000" w:rsidP="00000000" w:rsidRDefault="00000000" w:rsidRPr="00000000" w14:paraId="00000017">
      <w:pPr>
        <w:numPr>
          <w:ilvl w:val="0"/>
          <w:numId w:val="1"/>
        </w:numPr>
        <w:spacing w:after="0" w:afterAutospacing="0" w:lineRule="auto"/>
        <w:ind w:left="280" w:right="-440" w:hanging="360"/>
      </w:pPr>
      <w:r w:rsidDel="00000000" w:rsidR="00000000" w:rsidRPr="00000000">
        <w:rPr>
          <w:color w:val="212529"/>
          <w:sz w:val="21"/>
          <w:szCs w:val="21"/>
          <w:rtl w:val="0"/>
        </w:rPr>
        <w:t xml:space="preserve">10/2015 – 05/2020 Tiermedizin, Stiftung Tierärztliche Hochschule Hannover Quereinstieg ab dem 2. Semester</w:t>
      </w:r>
    </w:p>
    <w:p w:rsidR="00000000" w:rsidDel="00000000" w:rsidP="00000000" w:rsidRDefault="00000000" w:rsidRPr="00000000" w14:paraId="00000018">
      <w:pPr>
        <w:numPr>
          <w:ilvl w:val="0"/>
          <w:numId w:val="1"/>
        </w:numPr>
        <w:spacing w:after="760" w:lineRule="auto"/>
        <w:ind w:left="280" w:right="-440" w:hanging="360"/>
      </w:pPr>
      <w:r w:rsidDel="00000000" w:rsidR="00000000" w:rsidRPr="00000000">
        <w:rPr>
          <w:color w:val="212529"/>
          <w:sz w:val="21"/>
          <w:szCs w:val="21"/>
          <w:rtl w:val="0"/>
        </w:rPr>
        <w:t xml:space="preserve">10/2013 – 04/2015 Tiermedizin Wroclaw University of Environmental and Life Science 1. – 3. Semester, English Division</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webinar-live/detail/d/therapie-des-diabetes-mellitus-und-diabetische-remission-bei-der-katze/3300/"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