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bfs7kwj95z65" w:id="0"/>
      <w:bookmarkEnd w:id="0"/>
      <w:r w:rsidDel="00000000" w:rsidR="00000000" w:rsidRPr="00000000">
        <w:rPr>
          <w:rFonts w:ascii="Raleway" w:cs="Raleway" w:eastAsia="Raleway" w:hAnsi="Raleway"/>
          <w:b w:val="1"/>
          <w:bCs w:val="1"/>
          <w:color w:val="333333"/>
          <w:sz w:val="36"/>
          <w:szCs w:val="36"/>
          <w:rtl w:val="0"/>
        </w:rPr>
        <w:t xml:space="preserve">Eselpatienten - eine internistische Herausforderung</w:t>
      </w:r>
    </w:p>
    <w:p w:rsidR="00000000" w:rsidDel="00000000" w:rsidP="00000000" w:rsidRDefault="00000000" w:rsidRPr="00000000" w14:paraId="00000002">
      <w:pPr>
        <w:shd w:fill="ffffff" w:val="clear"/>
        <w:ind w:left="-440" w:right="-440" w:firstLine="0"/>
        <w:rPr>
          <w:color w:val="212529"/>
          <w:sz w:val="21"/>
          <w:szCs w:val="21"/>
        </w:rPr>
      </w:pPr>
      <w:r w:rsidDel="00000000" w:rsidR="00000000" w:rsidRPr="00000000">
        <w:rPr>
          <w:color w:val="212529"/>
          <w:sz w:val="21"/>
          <w:szCs w:val="21"/>
          <w:rtl w:val="0"/>
        </w:rPr>
        <w:t xml:space="preserve"> 12. Mai 2026</w:t>
      </w:r>
    </w:p>
    <w:p w:rsidR="00000000" w:rsidDel="00000000" w:rsidP="00000000" w:rsidRDefault="00000000" w:rsidRPr="00000000" w14:paraId="00000003">
      <w:pPr>
        <w:shd w:fill="ffffff" w:val="clear"/>
        <w:spacing w:after="80" w:before="80" w:lineRule="auto"/>
        <w:ind w:left="-220" w:right="-220" w:firstLine="0"/>
        <w:rPr>
          <w:color w:val="555555"/>
          <w:sz w:val="23"/>
          <w:szCs w:val="23"/>
        </w:rPr>
      </w:pPr>
      <w:r w:rsidDel="00000000" w:rsidR="00000000" w:rsidRPr="00000000">
        <w:rPr>
          <w:rtl w:val="0"/>
        </w:rPr>
      </w:r>
    </w:p>
    <w:p w:rsidR="00000000" w:rsidDel="00000000" w:rsidP="00000000" w:rsidRDefault="00000000" w:rsidRPr="00000000" w14:paraId="00000004">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5">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Esel gehören in den meisten Praxen sicher nicht zu den häufigsten Patienten und spielen in der universitären Ausbildung - wenn überhaupt - nur eine sehr kleine Rolle. Esel unterscheiden sich jedoch nicht nur in ihrer sozialen Interaktion und ihrem Verhalten erheblich von Pferden, sondern stellen in der Diagnostik und Therapie von internistischen Erkrankungen regelmäßig eine besondere Herausforderung dar. Dieses Webinar soll einen Beitrag dazu leisten, die Herausforderungen besser zu bewältigen und Eseln medizinisch besser gerecht zu werden.</w:t>
      </w:r>
    </w:p>
    <w:p w:rsidR="00000000" w:rsidDel="00000000" w:rsidP="00000000" w:rsidRDefault="00000000" w:rsidRPr="00000000" w14:paraId="00000006">
      <w:pPr>
        <w:shd w:fill="f5f5f5" w:val="clear"/>
        <w:spacing w:after="520" w:lineRule="auto"/>
        <w:ind w:left="-440" w:right="-440" w:firstLine="0"/>
        <w:rPr>
          <w:color w:val="212529"/>
          <w:sz w:val="21"/>
          <w:szCs w:val="21"/>
        </w:rPr>
      </w:pPr>
      <w:r w:rsidDel="00000000" w:rsidR="00000000" w:rsidRPr="00000000">
        <w:rPr>
          <w:color w:val="212529"/>
          <w:sz w:val="21"/>
          <w:szCs w:val="21"/>
        </w:rPr>
        <w:drawing>
          <wp:inline distB="114300" distT="114300" distL="114300" distR="114300">
            <wp:extent cx="635000" cy="635000"/>
            <wp:effectExtent b="0" l="0" r="0" t="0"/>
            <wp:docPr descr="Katja_Roscher_200x200.jpg" id="1" name="image1.png"/>
            <a:graphic>
              <a:graphicData uri="http://schemas.openxmlformats.org/drawingml/2006/picture">
                <pic:pic>
                  <pic:nvPicPr>
                    <pic:cNvPr descr="Katja_Roscher_200x200.jpg"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Katja Roscher</w:t>
      </w:r>
    </w:p>
    <w:p w:rsidR="00000000" w:rsidDel="00000000" w:rsidP="00000000" w:rsidRDefault="00000000" w:rsidRPr="00000000" w14:paraId="00000008">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Dr., DipECEIM,  FTÄ für Pferde</w:t>
      </w:r>
    </w:p>
    <w:p w:rsidR="00000000" w:rsidDel="00000000" w:rsidP="00000000" w:rsidRDefault="00000000" w:rsidRPr="00000000" w14:paraId="00000009">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2019 Habilitation: Fachgebiete Innere Medizin und Klinische Labordiagnostik, Habilitationsschrift: Thrombozyten der Equiden - ein unterschätzter Biomarker? </w:t>
        <w:br w:type="textWrapping"/>
        <w:t xml:space="preserve">2011: Diplomate des European College of Equine Internal Medicine (ECEIM) </w:t>
        <w:br w:type="textWrapping"/>
        <w:t xml:space="preserve">seit 2003: Klinik für Pferde - Innere Medizin, JLU Gießen  </w:t>
        <w:br w:type="textWrapping"/>
        <w:t xml:space="preserve">2003: Fachtierärztin für Pferde  </w:t>
        <w:br w:type="textWrapping"/>
        <w:t xml:space="preserve">2000-2003: Assistentin in 2 privaten Pferdekliniken  </w:t>
        <w:br w:type="textWrapping"/>
        <w:t xml:space="preserve">2000 Dissertation: "Vergleich ausgewählter Blutparameter zur Eignung in der Diagnostik entzündlicher Erkrankungen beim Pferd"  </w:t>
        <w:br w:type="textWrapping"/>
        <w:t xml:space="preserve">1997-1999: Assistentin in der Medizinischen und Gerichtlichen Veterinärklinik I; JLU Gießen  </w:t>
        <w:br w:type="textWrapping"/>
        <w:t xml:space="preserve">1991-1997: Studium in Gießen </w:t>
      </w:r>
    </w:p>
    <w:p w:rsidR="00000000" w:rsidDel="00000000" w:rsidP="00000000" w:rsidRDefault="00000000" w:rsidRPr="00000000" w14:paraId="0000000A">
      <w:pPr>
        <w:rPr/>
      </w:pPr>
      <w:r w:rsidDel="00000000" w:rsidR="00000000" w:rsidRPr="00000000">
        <w:rPr>
          <w:rtl w:val="0"/>
        </w:rPr>
        <w:t xml:space="preserve">https://www.vet-webinar.com/de/webinar-live/detail/d/eselpatienten-eine-internistische-herausforderung/3322/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