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hyperlink r:id="rId6">
        <w:r w:rsidDel="00000000" w:rsidR="00000000" w:rsidRPr="00000000">
          <w:rPr>
            <w:color w:val="1155cc"/>
            <w:u w:val="single"/>
            <w:rtl w:val="0"/>
          </w:rPr>
          <w:t xml:space="preserve">https://www.vet-webinar.com/de/webinar-live/detail/d/das-hustende-pferd-diagnostische-aufarbeitung-und-therapeutische-optionen/3280/</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64" w:lineRule="auto"/>
        <w:ind w:left="-220" w:right="-220" w:firstLine="0"/>
        <w:rPr>
          <w:rFonts w:ascii="Raleway" w:cs="Raleway" w:eastAsia="Raleway" w:hAnsi="Raleway"/>
          <w:b w:val="1"/>
          <w:bCs w:val="1"/>
          <w:color w:val="333333"/>
          <w:sz w:val="36"/>
          <w:szCs w:val="36"/>
        </w:rPr>
      </w:pPr>
      <w:bookmarkStart w:colFirst="0" w:colLast="0" w:name="_91pjd8tb4bh0" w:id="0"/>
      <w:bookmarkEnd w:id="0"/>
      <w:r w:rsidDel="00000000" w:rsidR="00000000" w:rsidRPr="00000000">
        <w:rPr>
          <w:rFonts w:ascii="Raleway" w:cs="Raleway" w:eastAsia="Raleway" w:hAnsi="Raleway"/>
          <w:b w:val="1"/>
          <w:bCs w:val="1"/>
          <w:color w:val="333333"/>
          <w:sz w:val="36"/>
          <w:szCs w:val="36"/>
          <w:rtl w:val="0"/>
        </w:rPr>
        <w:t xml:space="preserve">Das hustende Pferd - diagnostische Aufarbeitung und therapeutische Optionen</w:t>
      </w:r>
    </w:p>
    <w:p w:rsidR="00000000" w:rsidDel="00000000" w:rsidP="00000000" w:rsidRDefault="00000000" w:rsidRPr="00000000" w14:paraId="00000004">
      <w:pPr>
        <w:shd w:fill="ffffff" w:val="clear"/>
        <w:ind w:left="-440" w:right="-440" w:firstLine="0"/>
        <w:rPr>
          <w:color w:val="212529"/>
          <w:sz w:val="21"/>
          <w:szCs w:val="21"/>
        </w:rPr>
      </w:pPr>
      <w:r w:rsidDel="00000000" w:rsidR="00000000" w:rsidRPr="00000000">
        <w:rPr>
          <w:color w:val="212529"/>
          <w:sz w:val="21"/>
          <w:szCs w:val="21"/>
          <w:rtl w:val="0"/>
        </w:rPr>
        <w:t xml:space="preserve"> 4. März 2026</w:t>
      </w:r>
    </w:p>
    <w:p w:rsidR="00000000" w:rsidDel="00000000" w:rsidP="00000000" w:rsidRDefault="00000000" w:rsidRPr="00000000" w14:paraId="00000005">
      <w:pPr>
        <w:shd w:fill="ffffff" w:val="clear"/>
        <w:ind w:left="-440" w:right="-440" w:firstLine="0"/>
        <w:rPr>
          <w:color w:val="212529"/>
          <w:sz w:val="21"/>
          <w:szCs w:val="21"/>
        </w:rPr>
      </w:pPr>
      <w:r w:rsidDel="00000000" w:rsidR="00000000" w:rsidRPr="00000000">
        <w:rPr>
          <w:color w:val="212529"/>
          <w:sz w:val="21"/>
          <w:szCs w:val="21"/>
          <w:rtl w:val="0"/>
        </w:rPr>
        <w:t xml:space="preserve"> 20:00 - 21:00 CET</w:t>
      </w:r>
    </w:p>
    <w:p w:rsidR="00000000" w:rsidDel="00000000" w:rsidP="00000000" w:rsidRDefault="00000000" w:rsidRPr="00000000" w14:paraId="00000006">
      <w:pPr>
        <w:shd w:fill="ffffff" w:val="clear"/>
        <w:spacing w:after="20" w:before="20" w:lineRule="auto"/>
        <w:ind w:left="-220" w:right="-220" w:firstLine="0"/>
        <w:rPr>
          <w:rFonts w:ascii="Raleway" w:cs="Raleway" w:eastAsia="Raleway" w:hAnsi="Raleway"/>
          <w:color w:val="cc3333"/>
          <w:sz w:val="45"/>
          <w:szCs w:val="45"/>
        </w:rPr>
      </w:pPr>
      <w:r w:rsidDel="00000000" w:rsidR="00000000" w:rsidRPr="00000000">
        <w:rPr>
          <w:rtl w:val="0"/>
        </w:rPr>
      </w:r>
    </w:p>
    <w:p w:rsidR="00000000" w:rsidDel="00000000" w:rsidP="00000000" w:rsidRDefault="00000000" w:rsidRPr="00000000" w14:paraId="00000007">
      <w:pPr>
        <w:shd w:fill="ffffff" w:val="clear"/>
        <w:ind w:left="-220" w:right="-220" w:firstLine="0"/>
        <w:rPr>
          <w:color w:val="212529"/>
          <w:sz w:val="21"/>
          <w:szCs w:val="21"/>
        </w:rPr>
      </w:pPr>
      <w:r w:rsidDel="00000000" w:rsidR="00000000" w:rsidRPr="00000000">
        <w:rPr>
          <w:color w:val="212529"/>
          <w:sz w:val="21"/>
          <w:szCs w:val="21"/>
          <w:rtl w:val="0"/>
        </w:rPr>
        <w:t xml:space="preserve">Beschreibung</w:t>
      </w:r>
    </w:p>
    <w:p w:rsidR="00000000" w:rsidDel="00000000" w:rsidP="00000000" w:rsidRDefault="00000000" w:rsidRPr="00000000" w14:paraId="00000008">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Im Webinar werden Vor- und Nachteile diagnostischer Tests, deren Durchführung, Auswertung und Interpretation und das Erstellen einer Diagnose diskutiert. Prof. Dr. Bettina Dunkel erläutert alte und neuere Therapiemöglichkeiten für die häufigsten Respirationserkrankungen, verbunden mit einem kurzen Ausblick in mögliche zukünftige Behandlungen. Das Ziel des Webinars ist es, die Teilnehmer mit einem pragmatischen und umfangreichen Leitfaden zur Aufarbeitung und Behandlung von Husten bei Pferden auszustatten.</w:t>
      </w:r>
    </w:p>
    <w:p w:rsidR="00000000" w:rsidDel="00000000" w:rsidP="00000000" w:rsidRDefault="00000000" w:rsidRPr="00000000" w14:paraId="00000009">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Sprache: Deutsch</w:t>
      </w:r>
    </w:p>
    <w:p w:rsidR="00000000" w:rsidDel="00000000" w:rsidP="00000000" w:rsidRDefault="00000000" w:rsidRPr="00000000" w14:paraId="0000000A">
      <w:pPr>
        <w:shd w:fill="ffffff" w:val="clear"/>
        <w:spacing w:after="160" w:lineRule="auto"/>
        <w:ind w:left="-220" w:right="-220" w:firstLine="0"/>
        <w:rPr>
          <w:color w:val="cc3333"/>
          <w:sz w:val="21"/>
          <w:szCs w:val="21"/>
        </w:rPr>
      </w:pPr>
      <w:r w:rsidDel="00000000" w:rsidR="00000000" w:rsidRPr="00000000">
        <w:rPr>
          <w:rtl w:val="0"/>
        </w:rPr>
      </w:r>
    </w:p>
    <w:p w:rsidR="00000000" w:rsidDel="00000000" w:rsidP="00000000" w:rsidRDefault="00000000" w:rsidRPr="00000000" w14:paraId="0000000B">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2 Stunden nach § 10(2) der ATF-Statuten als Pflichtfortbildung für ATF-Mitglieder. </w:t>
        <w:br w:type="textWrapping"/>
        <w:t xml:space="preserve">ATF Stunden werden von der ÖTK als Bildungsstunden anerkannt. </w:t>
        <w:br w:type="textWrapping"/>
        <w:t xml:space="preserve">Die Anerkennung nach den Richtlinien der Gesellschaft der Schweizer Tierärztinnen und Tierärzte ist möglich.</w:t>
      </w:r>
    </w:p>
    <w:p w:rsidR="00000000" w:rsidDel="00000000" w:rsidP="00000000" w:rsidRDefault="00000000" w:rsidRPr="00000000" w14:paraId="0000000C">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Die Anerkennung von ATF Bildungsstunden ist unter der Voraussetzung eines positiven Abschlusses der Wissensprüfung genehmigt.</w:t>
      </w:r>
    </w:p>
    <w:p w:rsidR="00000000" w:rsidDel="00000000" w:rsidP="00000000" w:rsidRDefault="00000000" w:rsidRPr="00000000" w14:paraId="0000000D">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Prof. Dr. Bettina Dunkel - DVM, PhD, DACVIM, DECEIM, DACVECC, FHEA, MRCVS</w:t>
      </w:r>
    </w:p>
    <w:p w:rsidR="00000000" w:rsidDel="00000000" w:rsidP="00000000" w:rsidRDefault="00000000" w:rsidRPr="00000000" w14:paraId="0000000E">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Beruflicher Werdegang Bettina Dunkel</w:t>
      </w:r>
    </w:p>
    <w:p w:rsidR="00000000" w:rsidDel="00000000" w:rsidP="00000000" w:rsidRDefault="00000000" w:rsidRPr="00000000" w14:paraId="0000000F">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 Graduiert im Januar 2001 von der Freien Universität Berlin</w:t>
        <w:br w:type="textWrapping"/>
        <w:t xml:space="preserve">• Fellowship an der Tufts University, Massachusetts, USA</w:t>
        <w:br w:type="textWrapping"/>
        <w:t xml:space="preserve">• July 2001-2002 Internship am Marion duPont Equine Medical Center, Leesburg, Virginia, USA</w:t>
        <w:br w:type="textWrapping"/>
        <w:t xml:space="preserve">• July 2002-2005 Large animal internal medicine und emergency and critical care residency an der</w:t>
        <w:br w:type="textWrapping"/>
        <w:t xml:space="preserve">University of Pennsylvania, New Bolton Center</w:t>
        <w:br w:type="textWrapping"/>
        <w:t xml:space="preserve">• Seit 2005 Diplomate des American College of Veterinary Internal Medicine und des American College</w:t>
        <w:br w:type="textWrapping"/>
        <w:t xml:space="preserve">of Veterinary Emergency and Critical Care</w:t>
        <w:br w:type="textWrapping"/>
        <w:t xml:space="preserve">• Von 2005-2008 PhD am Royal Veterinary College, University of London</w:t>
        <w:br w:type="textWrapping"/>
        <w:t xml:space="preserve">• Seit 2008 am Royal Veterinary College in der Pferdeklinik angestellt und seit 2021 Professor in</w:t>
        <w:br w:type="textWrapping"/>
        <w:t xml:space="preserve">Innerer, Notfall and Intensivmedizin bei Pferden.</w:t>
        <w:br w:type="textWrapping"/>
        <w:t xml:space="preserve">• Von 2018 - 2025 Leiterin der Pferdeklinik und Ambulanz am Royal Veterinary College</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t-webinar.com/de/webinar-live/detail/d/das-hustende-pferd-diagnostische-aufarbeitung-und-therapeutische-optionen/328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