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64" w:lineRule="auto"/>
        <w:ind w:left="-220" w:right="-220" w:firstLine="0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bookmarkStart w:colFirst="0" w:colLast="0" w:name="_6we638s807nd" w:id="0"/>
      <w:bookmarkEnd w:id="0"/>
      <w:hyperlink r:id="rId6">
        <w:r w:rsidDel="00000000" w:rsidR="00000000" w:rsidRPr="00000000">
          <w:rPr>
            <w:rFonts w:ascii="Raleway" w:cs="Raleway" w:eastAsia="Raleway" w:hAnsi="Raleway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https://www.vet-webinar.com/de/webinar-live/detail/d/from-gut-leak-to-survival-evolving-clinical-strategies-and-insights-in-canine-septic-peritonitis/3222/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64" w:lineRule="auto"/>
        <w:ind w:left="-220" w:right="-220" w:firstLine="0"/>
        <w:rPr>
          <w:rFonts w:ascii="Raleway" w:cs="Raleway" w:eastAsia="Raleway" w:hAnsi="Raleway"/>
          <w:b w:val="1"/>
          <w:bCs w:val="1"/>
          <w:color w:val="333333"/>
          <w:sz w:val="36"/>
          <w:szCs w:val="36"/>
        </w:rPr>
      </w:pPr>
      <w:bookmarkStart w:colFirst="0" w:colLast="0" w:name="_8v8r56zfy9kl" w:id="1"/>
      <w:bookmarkEnd w:id="1"/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6"/>
          <w:szCs w:val="36"/>
          <w:rtl w:val="0"/>
        </w:rPr>
        <w:t xml:space="preserve">From gut leak to survival: Evolving clinical strategies and insights in canine septic peritonitis</w:t>
      </w:r>
    </w:p>
    <w:p w:rsidR="00000000" w:rsidDel="00000000" w:rsidP="00000000" w:rsidRDefault="00000000" w:rsidRPr="00000000" w14:paraId="00000003">
      <w:pPr>
        <w:shd w:fill="ffffff" w:val="clear"/>
        <w:ind w:left="-440" w:right="-440" w:firstLine="0"/>
        <w:rPr>
          <w:color w:val="212529"/>
          <w:sz w:val="21"/>
          <w:szCs w:val="21"/>
        </w:rPr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 2. Juni 2026</w:t>
      </w:r>
    </w:p>
    <w:p w:rsidR="00000000" w:rsidDel="00000000" w:rsidP="00000000" w:rsidRDefault="00000000" w:rsidRPr="00000000" w14:paraId="00000004">
      <w:pPr>
        <w:shd w:fill="ffffff" w:val="clear"/>
        <w:ind w:left="-440" w:right="-440" w:firstLine="0"/>
        <w:rPr>
          <w:color w:val="212529"/>
          <w:sz w:val="21"/>
          <w:szCs w:val="21"/>
        </w:rPr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 20:00 - 21:00 CEST</w:t>
      </w:r>
    </w:p>
    <w:p w:rsidR="00000000" w:rsidDel="00000000" w:rsidP="00000000" w:rsidRDefault="00000000" w:rsidRPr="00000000" w14:paraId="00000005">
      <w:pPr>
        <w:shd w:fill="ffffff" w:val="clear"/>
        <w:spacing w:after="20" w:before="20" w:lineRule="auto"/>
        <w:ind w:left="-220" w:right="-220" w:firstLine="0"/>
        <w:rPr>
          <w:rFonts w:ascii="Raleway" w:cs="Raleway" w:eastAsia="Raleway" w:hAnsi="Raleway"/>
          <w:color w:val="cc3333"/>
          <w:sz w:val="45"/>
          <w:szCs w:val="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-220" w:right="-220" w:firstLine="0"/>
        <w:rPr>
          <w:color w:val="212529"/>
          <w:sz w:val="21"/>
          <w:szCs w:val="21"/>
        </w:rPr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Beschreibung</w:t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ind w:left="-220" w:right="-220" w:firstLine="0"/>
        <w:rPr>
          <w:color w:val="212529"/>
          <w:sz w:val="21"/>
          <w:szCs w:val="21"/>
        </w:rPr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Canine and feline septic peritonitis is where physiology, surgery, and time pressure collide. This webinar takes you from the moment you suspect a gut leak to the postoperative decisions that determine survival. Using real cases and clear outcome measures, we’ll align evidence with what actually works in practice: when to explore vs stabilise, achieving source control without escalating surgical stress, and how to support the body’s own healing during the perioperative period.</w:t>
        <w:br w:type="textWrapping"/>
        <w:br w:type="textWrapping"/>
        <w:t xml:space="preserve">What you’ll learn: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500" w:right="-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A stepwise approach to diagnosis and triage (what matters in the first hours).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500" w:right="-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Operate now or later? Decision points for exploratory laparotomy and damage-control surgery.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500" w:right="-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Source control essentials: gastric/intestinal repair, resection–anastomosis, and contamination management.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500" w:right="-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Drains, lavage, or open abdomen: when they help—and when they hurt.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500" w:right="-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Postperative monitoring, nutrition, and preventing common complications.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ind w:left="-220" w:right="-220" w:firstLine="0"/>
        <w:rPr>
          <w:color w:val="212529"/>
          <w:sz w:val="21"/>
          <w:szCs w:val="21"/>
        </w:rPr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ind w:left="-220" w:right="-220" w:firstLine="0"/>
        <w:rPr>
          <w:color w:val="212529"/>
          <w:sz w:val="21"/>
          <w:szCs w:val="21"/>
        </w:rPr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Language: English </w:t>
      </w:r>
    </w:p>
    <w:p w:rsidR="00000000" w:rsidDel="00000000" w:rsidP="00000000" w:rsidRDefault="00000000" w:rsidRPr="00000000" w14:paraId="0000000F">
      <w:pPr>
        <w:shd w:fill="f5f5f5" w:val="clear"/>
        <w:spacing w:after="520" w:lineRule="auto"/>
        <w:ind w:left="-440" w:right="-440" w:firstLine="0"/>
        <w:rPr>
          <w:b w:val="1"/>
          <w:bCs w:val="1"/>
          <w:color w:val="212529"/>
          <w:sz w:val="21"/>
          <w:szCs w:val="21"/>
        </w:rPr>
      </w:pPr>
      <w:r w:rsidDel="00000000" w:rsidR="00000000" w:rsidRPr="00000000">
        <w:rPr>
          <w:b w:val="1"/>
          <w:bCs w:val="1"/>
          <w:color w:val="212529"/>
          <w:sz w:val="21"/>
          <w:szCs w:val="21"/>
          <w:rtl w:val="0"/>
        </w:rPr>
        <w:t xml:space="preserve">Elena Regine Moldal</w:t>
      </w:r>
    </w:p>
    <w:p w:rsidR="00000000" w:rsidDel="00000000" w:rsidP="00000000" w:rsidRDefault="00000000" w:rsidRPr="00000000" w14:paraId="00000010">
      <w:pPr>
        <w:shd w:fill="f5f5f5" w:val="clear"/>
        <w:spacing w:after="680" w:lineRule="auto"/>
        <w:ind w:left="-440" w:right="-440" w:firstLine="0"/>
        <w:rPr>
          <w:color w:val="8e8e8e"/>
          <w:sz w:val="21"/>
          <w:szCs w:val="21"/>
        </w:rPr>
      </w:pPr>
      <w:r w:rsidDel="00000000" w:rsidR="00000000" w:rsidRPr="00000000">
        <w:rPr>
          <w:color w:val="8e8e8e"/>
          <w:sz w:val="21"/>
          <w:szCs w:val="21"/>
          <w:rtl w:val="0"/>
        </w:rPr>
        <w:t xml:space="preserve">Associate Professor, BVM&amp;S, PhD, DipECVS, EBVS® Europen Specialist in Small Animal Surgery</w:t>
      </w:r>
    </w:p>
    <w:p w:rsidR="00000000" w:rsidDel="00000000" w:rsidP="00000000" w:rsidRDefault="00000000" w:rsidRPr="00000000" w14:paraId="00000011">
      <w:pPr>
        <w:shd w:fill="f5f5f5" w:val="clear"/>
        <w:spacing w:after="680" w:lineRule="auto"/>
        <w:ind w:left="-440" w:right="-440" w:firstLine="0"/>
        <w:rPr>
          <w:color w:val="8e8e8e"/>
          <w:sz w:val="21"/>
          <w:szCs w:val="21"/>
        </w:rPr>
      </w:pPr>
      <w:r w:rsidDel="00000000" w:rsidR="00000000" w:rsidRPr="00000000">
        <w:rPr>
          <w:color w:val="8e8e8e"/>
          <w:sz w:val="21"/>
          <w:szCs w:val="21"/>
          <w:rtl w:val="0"/>
        </w:rPr>
        <w:t xml:space="preserve">Elena Regine Moldal graduated from the Royal (Dick) School of Veterinary Studies, University of Edinburgh, and began her career in general small animal practice. She completed a PhD in small animal surgery at the University of Copenhagen, followed by a surgical residency at the Swedish University of Agricultural Sciences (SLU). A Diplomate of the European College of Veterinary Surgeons (ECVS), she now combines clinical practice with a research role at the Norwegian University of Life Sciences (NMBU), drawing on long-standing surgical experience.</w:t>
        <w:br w:type="textWrapping"/>
        <w:br w:type="textWrapping"/>
        <w:t xml:space="preserve">Her work integrates the operating theatre and the laboratory, with a central focus on the biology of surgical stress and on strategies to support the body’s endogenous healing before, during, and after surgery—as well as through non-surgical pathways. She leads research into cranial cruciate ligament disease (CCLD) and supervises PhD fellows and surgical trainees. Clinically, she maintains a broad caseload across orthopaedic, soft tissue, neurosurgical, and emergency procedures, and is committed to evidence-based, low-stress surgical care that improves recovery and outcomes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vet-webinar.com/de/webinar-live/detail/d/from-gut-leak-to-survival-evolving-clinical-strategies-and-insights-in-canine-septic-peritonitis/322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