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354" w:rsidRDefault="008E4354" w:rsidP="009C0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  <w:sz w:val="32"/>
          <w:szCs w:val="3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4354">
        <w:rPr>
          <w:noProof/>
          <w:color w:val="000000" w:themeColor="text1"/>
          <w:sz w:val="32"/>
          <w:szCs w:val="32"/>
          <w:lang w:eastAsia="de-A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70638E36" wp14:editId="36539266">
            <wp:extent cx="1034912" cy="647700"/>
            <wp:effectExtent l="0" t="0" r="0" b="0"/>
            <wp:docPr id="4" name="Grafik 4" descr="Landeslogo in Farbe auf grauem Hintergrund (Quelle: Abt. Pr/M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ndeslogo in Farbe auf grauem Hintergrund (Quelle: Abt. Pr/Mb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935" cy="65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3C5" w:rsidRPr="00896E61" w:rsidRDefault="00087AD4" w:rsidP="009C0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  <w:sz w:val="32"/>
          <w:szCs w:val="3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6E61">
        <w:rPr>
          <w:rFonts w:ascii="Arial" w:hAnsi="Arial" w:cs="Arial"/>
          <w:color w:val="000000" w:themeColor="text1"/>
          <w:sz w:val="32"/>
          <w:szCs w:val="3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Einladung zum Vortrag</w:t>
      </w:r>
      <w:r w:rsidR="001333C5" w:rsidRPr="00896E61">
        <w:rPr>
          <w:rFonts w:ascii="Arial" w:hAnsi="Arial" w:cs="Arial"/>
          <w:color w:val="000000" w:themeColor="text1"/>
          <w:sz w:val="32"/>
          <w:szCs w:val="3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:rsidR="001333C5" w:rsidRPr="008E4354" w:rsidRDefault="001333C5" w:rsidP="009C0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  <w:sz w:val="32"/>
          <w:szCs w:val="3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6E61">
        <w:rPr>
          <w:rFonts w:ascii="Arial" w:hAnsi="Arial" w:cs="Arial"/>
          <w:color w:val="000000" w:themeColor="text1"/>
          <w:sz w:val="32"/>
          <w:szCs w:val="3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087AD4" w:rsidRPr="00896E61">
        <w:rPr>
          <w:rFonts w:ascii="Arial" w:hAnsi="Arial" w:cs="Arial"/>
          <w:color w:val="000000" w:themeColor="text1"/>
          <w:sz w:val="32"/>
          <w:szCs w:val="3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ür </w:t>
      </w:r>
      <w:r w:rsidR="00896E61">
        <w:rPr>
          <w:rFonts w:ascii="Arial" w:hAnsi="Arial" w:cs="Arial"/>
          <w:color w:val="000000" w:themeColor="text1"/>
          <w:sz w:val="32"/>
          <w:szCs w:val="3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Tierärzte der Bezirke</w:t>
      </w:r>
      <w:r w:rsidR="00087AD4" w:rsidRPr="00896E61">
        <w:rPr>
          <w:rFonts w:ascii="Arial" w:hAnsi="Arial" w:cs="Arial"/>
          <w:color w:val="000000" w:themeColor="text1"/>
          <w:sz w:val="32"/>
          <w:szCs w:val="3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Kirchdorf, Steyr-Land, Stadt Steyr und Wels-Land.</w:t>
      </w:r>
      <w:r w:rsidR="00E86654" w:rsidRPr="00896E61">
        <w:rPr>
          <w:rFonts w:ascii="Arial" w:hAnsi="Arial" w:cs="Arial"/>
          <w:color w:val="000000" w:themeColor="text1"/>
          <w:sz w:val="32"/>
          <w:szCs w:val="3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723C9" w:rsidRPr="00896E61" w:rsidRDefault="00B67287" w:rsidP="009C0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32"/>
          <w:szCs w:val="32"/>
          <w:u w:val="singl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:u w:val="singl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Der Tierarzt im Zentrum des Tierseuchengeschehens-</w:t>
      </w:r>
    </w:p>
    <w:p w:rsidR="003723C9" w:rsidRPr="00896E61" w:rsidRDefault="003723C9" w:rsidP="009C0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32"/>
          <w:szCs w:val="32"/>
          <w:u w:val="singl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6E61">
        <w:rPr>
          <w:color w:val="000000" w:themeColor="text1"/>
          <w:sz w:val="32"/>
          <w:szCs w:val="32"/>
          <w:u w:val="single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Aktuelle Rechtslage zur Tierseuchenbekämpfung in Österreich </w:t>
      </w:r>
    </w:p>
    <w:p w:rsidR="007069F7" w:rsidRPr="001333C5" w:rsidRDefault="003723C9" w:rsidP="009C0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33C5">
        <w:rPr>
          <w:color w:val="000000" w:themeColor="text1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Vortragende: </w:t>
      </w:r>
      <w:r w:rsidR="00087AD4" w:rsidRPr="001333C5">
        <w:rPr>
          <w:color w:val="000000" w:themeColor="text1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Amtstierärztinnen und Amtstierärzte der Bezirkshauptmannschaften</w:t>
      </w:r>
    </w:p>
    <w:p w:rsidR="00896E61" w:rsidRDefault="003723C9" w:rsidP="009C0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>
        <w:rPr>
          <w:lang w:val="de-DE"/>
        </w:rPr>
        <w:t>Die „</w:t>
      </w:r>
      <w:r w:rsidR="001333C5">
        <w:rPr>
          <w:lang w:val="de-DE"/>
        </w:rPr>
        <w:t>ruhige Tiers</w:t>
      </w:r>
      <w:r>
        <w:rPr>
          <w:lang w:val="de-DE"/>
        </w:rPr>
        <w:t>euchenlage“ der letzten Jahrzehnte ließ die Maßnahmen zur Tierseuchenbekämpfung in den Hintergrund</w:t>
      </w:r>
      <w:r w:rsidR="00896E61">
        <w:rPr>
          <w:lang w:val="de-DE"/>
        </w:rPr>
        <w:t xml:space="preserve"> treten</w:t>
      </w:r>
      <w:r>
        <w:rPr>
          <w:lang w:val="de-DE"/>
        </w:rPr>
        <w:t xml:space="preserve">. </w:t>
      </w:r>
      <w:r w:rsidR="00467D73">
        <w:rPr>
          <w:lang w:val="de-DE"/>
        </w:rPr>
        <w:t>Zuletzt</w:t>
      </w:r>
      <w:r>
        <w:rPr>
          <w:lang w:val="de-DE"/>
        </w:rPr>
        <w:t xml:space="preserve"> waren jedoch wieder Ausbrüche von </w:t>
      </w:r>
      <w:proofErr w:type="spellStart"/>
      <w:r>
        <w:rPr>
          <w:lang w:val="de-DE"/>
        </w:rPr>
        <w:t>Brucellose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Brucella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suis</w:t>
      </w:r>
      <w:proofErr w:type="spellEnd"/>
      <w:r w:rsidR="00695A8A">
        <w:rPr>
          <w:lang w:val="de-DE"/>
        </w:rPr>
        <w:t xml:space="preserve">, </w:t>
      </w:r>
      <w:proofErr w:type="spellStart"/>
      <w:r>
        <w:rPr>
          <w:lang w:val="de-DE"/>
        </w:rPr>
        <w:t>Brucella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melitensis</w:t>
      </w:r>
      <w:proofErr w:type="spellEnd"/>
      <w:r>
        <w:rPr>
          <w:lang w:val="de-DE"/>
        </w:rPr>
        <w:t>) in die öffentlichen Medien</w:t>
      </w:r>
      <w:r w:rsidR="001333C5">
        <w:rPr>
          <w:lang w:val="de-DE"/>
        </w:rPr>
        <w:t xml:space="preserve"> Oberösterreichs präsent</w:t>
      </w:r>
      <w:r>
        <w:rPr>
          <w:lang w:val="de-DE"/>
        </w:rPr>
        <w:t xml:space="preserve">. </w:t>
      </w:r>
      <w:r w:rsidR="001333C5">
        <w:rPr>
          <w:lang w:val="de-DE"/>
        </w:rPr>
        <w:t xml:space="preserve">Auch andere Tierseuchen (Afrikanische Schweinepest, </w:t>
      </w:r>
      <w:proofErr w:type="spellStart"/>
      <w:r w:rsidR="001333C5">
        <w:rPr>
          <w:lang w:val="de-DE"/>
        </w:rPr>
        <w:t>Lumpy</w:t>
      </w:r>
      <w:proofErr w:type="spellEnd"/>
      <w:r w:rsidR="001333C5">
        <w:rPr>
          <w:lang w:val="de-DE"/>
        </w:rPr>
        <w:t xml:space="preserve"> Skin) stellen eine</w:t>
      </w:r>
      <w:r w:rsidR="00896E61">
        <w:rPr>
          <w:lang w:val="de-DE"/>
        </w:rPr>
        <w:t xml:space="preserve"> aktuelle</w:t>
      </w:r>
      <w:r w:rsidR="001333C5">
        <w:rPr>
          <w:lang w:val="de-DE"/>
        </w:rPr>
        <w:t xml:space="preserve"> Bedrohung für betroffene Personenkreise </w:t>
      </w:r>
      <w:r w:rsidR="00896E61">
        <w:rPr>
          <w:lang w:val="de-DE"/>
        </w:rPr>
        <w:t>und Tiere</w:t>
      </w:r>
      <w:r>
        <w:rPr>
          <w:lang w:val="de-DE"/>
        </w:rPr>
        <w:t xml:space="preserve"> in Ö</w:t>
      </w:r>
      <w:r w:rsidR="001333C5">
        <w:rPr>
          <w:lang w:val="de-DE"/>
        </w:rPr>
        <w:t>ster</w:t>
      </w:r>
      <w:r>
        <w:rPr>
          <w:lang w:val="de-DE"/>
        </w:rPr>
        <w:t xml:space="preserve">reich dar. </w:t>
      </w:r>
      <w:r w:rsidR="002F52A4">
        <w:rPr>
          <w:lang w:val="de-DE"/>
        </w:rPr>
        <w:t>Präsentiert wird die</w:t>
      </w:r>
      <w:r>
        <w:rPr>
          <w:lang w:val="de-DE"/>
        </w:rPr>
        <w:t xml:space="preserve"> </w:t>
      </w:r>
      <w:r w:rsidR="002F52A4">
        <w:rPr>
          <w:lang w:val="de-DE"/>
        </w:rPr>
        <w:t>Einbindung der</w:t>
      </w:r>
      <w:r>
        <w:rPr>
          <w:lang w:val="de-DE"/>
        </w:rPr>
        <w:t xml:space="preserve"> Tierärzte </w:t>
      </w:r>
      <w:r w:rsidR="002F52A4">
        <w:rPr>
          <w:lang w:val="de-DE"/>
        </w:rPr>
        <w:t>in die Tierseuchen-B</w:t>
      </w:r>
      <w:r>
        <w:rPr>
          <w:lang w:val="de-DE"/>
        </w:rPr>
        <w:t>ekämpfungs</w:t>
      </w:r>
      <w:r w:rsidR="00A00D42">
        <w:rPr>
          <w:lang w:val="de-DE"/>
        </w:rPr>
        <w:t>s</w:t>
      </w:r>
      <w:r>
        <w:rPr>
          <w:lang w:val="de-DE"/>
        </w:rPr>
        <w:t>trategien</w:t>
      </w:r>
      <w:r w:rsidR="002F52A4">
        <w:rPr>
          <w:lang w:val="de-DE"/>
        </w:rPr>
        <w:t xml:space="preserve"> </w:t>
      </w:r>
      <w:r w:rsidR="00695A8A">
        <w:rPr>
          <w:lang w:val="de-DE"/>
        </w:rPr>
        <w:t>in Österreich</w:t>
      </w:r>
      <w:r w:rsidR="002F52A4">
        <w:rPr>
          <w:lang w:val="de-DE"/>
        </w:rPr>
        <w:t xml:space="preserve"> und die dazu bestehende Gesetzeslage.</w:t>
      </w:r>
      <w:r>
        <w:rPr>
          <w:lang w:val="de-DE"/>
        </w:rPr>
        <w:t xml:space="preserve"> </w:t>
      </w:r>
    </w:p>
    <w:p w:rsidR="00896E61" w:rsidRPr="00896E61" w:rsidRDefault="00B12739" w:rsidP="009C0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Termine: </w:t>
      </w:r>
      <w:r>
        <w:rPr>
          <w:color w:val="000000" w:themeColor="text1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Beginn:</w:t>
      </w:r>
      <w:r>
        <w:rPr>
          <w:color w:val="000000" w:themeColor="text1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96E61" w:rsidRPr="00896E61">
        <w:rPr>
          <w:color w:val="000000" w:themeColor="text1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Veranstaltungsort:</w:t>
      </w:r>
    </w:p>
    <w:p w:rsidR="00896E61" w:rsidRPr="00896E61" w:rsidRDefault="00B12739" w:rsidP="009C0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25.04.2019 </w:t>
      </w:r>
      <w:r>
        <w:rPr>
          <w:color w:val="000000" w:themeColor="text1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19:30</w:t>
      </w:r>
      <w:r>
        <w:rPr>
          <w:color w:val="000000" w:themeColor="text1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96E61" w:rsidRPr="00896E61">
        <w:rPr>
          <w:color w:val="000000" w:themeColor="text1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Seminarhotel</w:t>
      </w:r>
      <w:r>
        <w:rPr>
          <w:color w:val="000000" w:themeColor="text1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Schicklberg</w:t>
      </w:r>
      <w:proofErr w:type="spellEnd"/>
      <w:r w:rsidR="00896E61" w:rsidRPr="00896E61">
        <w:rPr>
          <w:color w:val="000000" w:themeColor="text1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896E61" w:rsidRPr="00896E61">
        <w:rPr>
          <w:color w:val="000000" w:themeColor="text1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Schicklberg</w:t>
      </w:r>
      <w:proofErr w:type="spellEnd"/>
      <w:r w:rsidR="00896E61" w:rsidRPr="00896E61">
        <w:rPr>
          <w:color w:val="000000" w:themeColor="text1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1, 4550 </w:t>
      </w:r>
      <w:proofErr w:type="spellStart"/>
      <w:r w:rsidR="00896E61" w:rsidRPr="00896E61">
        <w:rPr>
          <w:color w:val="000000" w:themeColor="text1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Kremsmünster</w:t>
      </w:r>
      <w:proofErr w:type="spellEnd"/>
      <w:r w:rsidR="00746EF3">
        <w:rPr>
          <w:color w:val="000000" w:themeColor="text1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</w:p>
    <w:p w:rsidR="00896E61" w:rsidRPr="00896E61" w:rsidRDefault="00B12739" w:rsidP="009C0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09.05.2019</w:t>
      </w:r>
      <w:r>
        <w:rPr>
          <w:color w:val="000000" w:themeColor="text1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19:30</w:t>
      </w:r>
      <w:r>
        <w:rPr>
          <w:color w:val="000000" w:themeColor="text1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96E61" w:rsidRPr="00896E61">
        <w:rPr>
          <w:color w:val="000000" w:themeColor="text1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Seminarhotel</w:t>
      </w:r>
      <w:r>
        <w:rPr>
          <w:color w:val="000000" w:themeColor="text1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Schicklberg</w:t>
      </w:r>
      <w:proofErr w:type="spellEnd"/>
      <w:r w:rsidR="00896E61" w:rsidRPr="00896E61">
        <w:rPr>
          <w:color w:val="000000" w:themeColor="text1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896E61" w:rsidRPr="00896E61">
        <w:rPr>
          <w:color w:val="000000" w:themeColor="text1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Schicklberg</w:t>
      </w:r>
      <w:proofErr w:type="spellEnd"/>
      <w:r w:rsidR="00896E61" w:rsidRPr="00896E61">
        <w:rPr>
          <w:color w:val="000000" w:themeColor="text1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1, 4550 </w:t>
      </w:r>
      <w:proofErr w:type="spellStart"/>
      <w:r w:rsidR="00896E61" w:rsidRPr="00896E61">
        <w:rPr>
          <w:color w:val="000000" w:themeColor="text1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Kremsmünster</w:t>
      </w:r>
      <w:proofErr w:type="spellEnd"/>
      <w:r w:rsidR="00746EF3">
        <w:rPr>
          <w:color w:val="000000" w:themeColor="text1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</w:p>
    <w:p w:rsidR="009C0B9F" w:rsidRDefault="00087AD4" w:rsidP="003723C9">
      <w:pPr>
        <w:rPr>
          <w:color w:val="000000" w:themeColor="text1"/>
          <w:sz w:val="32"/>
          <w:szCs w:val="3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4354">
        <w:rPr>
          <w:color w:val="000000" w:themeColor="text1"/>
          <w:sz w:val="32"/>
          <w:szCs w:val="3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 Anschluss</w:t>
      </w:r>
      <w:r w:rsidR="00896E61" w:rsidRPr="008E4354">
        <w:rPr>
          <w:color w:val="000000" w:themeColor="text1"/>
          <w:sz w:val="32"/>
          <w:szCs w:val="3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zum Tierseuchenvortrag</w:t>
      </w:r>
      <w:r w:rsidRPr="008E4354">
        <w:rPr>
          <w:color w:val="000000" w:themeColor="text1"/>
          <w:sz w:val="32"/>
          <w:szCs w:val="3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087AD4" w:rsidRPr="009C0B9F" w:rsidRDefault="00087AD4" w:rsidP="003723C9">
      <w:pPr>
        <w:rPr>
          <w:color w:val="000000" w:themeColor="text1"/>
          <w:sz w:val="32"/>
          <w:szCs w:val="3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4354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„Update zur diätetischen Therapie von </w:t>
      </w:r>
      <w:proofErr w:type="spellStart"/>
      <w:r w:rsidRPr="008E4354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Urolithiasis</w:t>
      </w:r>
      <w:proofErr w:type="spellEnd"/>
      <w:r w:rsidRPr="008E4354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 - Informationen zu den Produktänderungen</w:t>
      </w:r>
      <w:r w:rsidR="00896E61" w:rsidRPr="008E4354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tbl>
      <w:tblPr>
        <w:tblpPr w:leftFromText="51" w:rightFromText="51" w:vertAnchor="text"/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6"/>
        <w:gridCol w:w="516"/>
        <w:gridCol w:w="6000"/>
      </w:tblGrid>
      <w:tr w:rsidR="00087AD4" w:rsidTr="00746EF3">
        <w:trPr>
          <w:trHeight w:val="1075"/>
        </w:trPr>
        <w:tc>
          <w:tcPr>
            <w:tcW w:w="24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D4" w:rsidRDefault="00087AD4" w:rsidP="008242BD">
            <w:pPr>
              <w:autoSpaceDN w:val="0"/>
              <w:spacing w:after="100" w:afterAutospacing="1"/>
              <w:jc w:val="center"/>
            </w:pPr>
            <w:r>
              <w:rPr>
                <w:rFonts w:ascii="Arial" w:hAnsi="Arial" w:cs="Arial"/>
                <w:noProof/>
                <w:color w:val="1F497D"/>
                <w:sz w:val="24"/>
                <w:szCs w:val="24"/>
                <w:lang w:eastAsia="de-AT"/>
              </w:rPr>
              <w:drawing>
                <wp:inline distT="0" distB="0" distL="0" distR="0">
                  <wp:extent cx="1409700" cy="502920"/>
                  <wp:effectExtent l="0" t="0" r="0" b="0"/>
                  <wp:docPr id="3" name="Grafik 3" descr="logo RC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RC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D4" w:rsidRDefault="00087AD4" w:rsidP="008242BD">
            <w:pPr>
              <w:autoSpaceDN w:val="0"/>
              <w:spacing w:after="100" w:afterAutospacing="1"/>
            </w:pPr>
            <w:r>
              <w:rPr>
                <w:rFonts w:ascii="Arial" w:hAnsi="Arial" w:cs="Arial"/>
                <w:noProof/>
                <w:color w:val="1F497D"/>
                <w:sz w:val="24"/>
                <w:szCs w:val="24"/>
                <w:lang w:eastAsia="de-AT"/>
              </w:rPr>
              <w:drawing>
                <wp:inline distT="0" distB="0" distL="0" distR="0">
                  <wp:extent cx="190500" cy="1676400"/>
                  <wp:effectExtent l="0" t="0" r="0" b="0"/>
                  <wp:docPr id="2" name="Grafik 2" descr="cid:image006.png@01D27AD9.80978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6.png@01D27AD9.80978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850" w:type="dxa"/>
              <w:tblCellSpacing w:w="1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0"/>
            </w:tblGrid>
            <w:tr w:rsidR="00087AD4" w:rsidTr="009C0B9F">
              <w:trPr>
                <w:trHeight w:val="428"/>
                <w:tblCellSpacing w:w="18" w:type="dxa"/>
              </w:trPr>
              <w:tc>
                <w:tcPr>
                  <w:tcW w:w="377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87AD4" w:rsidRDefault="00087AD4" w:rsidP="00B67287">
                  <w:pPr>
                    <w:framePr w:hSpace="51" w:wrap="around" w:vAnchor="text" w:hAnchor="text"/>
                    <w:autoSpaceDN w:val="0"/>
                    <w:spacing w:after="100" w:afterAutospacing="1" w:line="276" w:lineRule="auto"/>
                  </w:pPr>
                  <w:r>
                    <w:rPr>
                      <w:rFonts w:ascii="Arial Narrow" w:hAnsi="Arial Narrow"/>
                      <w:b/>
                      <w:bCs/>
                      <w:color w:val="E2000A"/>
                      <w:lang w:val="en-US" w:eastAsia="de-AT"/>
                    </w:rPr>
                    <w:t xml:space="preserve">Mag. med. vet. Karin </w:t>
                  </w:r>
                  <w:proofErr w:type="spellStart"/>
                  <w:r>
                    <w:rPr>
                      <w:rFonts w:ascii="Arial Narrow" w:hAnsi="Arial Narrow"/>
                      <w:b/>
                      <w:bCs/>
                      <w:color w:val="E2000A"/>
                      <w:lang w:val="en-US" w:eastAsia="de-AT"/>
                    </w:rPr>
                    <w:t>Uhl</w:t>
                  </w:r>
                  <w:proofErr w:type="spellEnd"/>
                  <w:r>
                    <w:rPr>
                      <w:rFonts w:ascii="Arial" w:hAnsi="Arial" w:cs="Arial"/>
                      <w:color w:val="1F497D"/>
                      <w:sz w:val="18"/>
                      <w:szCs w:val="18"/>
                      <w:lang w:val="en-US" w:eastAsia="de-AT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555555"/>
                      <w:sz w:val="18"/>
                      <w:szCs w:val="18"/>
                      <w:lang w:val="en-US" w:eastAsia="de-AT"/>
                    </w:rPr>
                    <w:t>Corporate Affairs</w:t>
                  </w:r>
                  <w:r>
                    <w:rPr>
                      <w:rFonts w:ascii="Arial" w:hAnsi="Arial" w:cs="Arial"/>
                      <w:color w:val="1F497D"/>
                      <w:sz w:val="18"/>
                      <w:szCs w:val="18"/>
                      <w:lang w:val="en-US" w:eastAsia="de-AT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555555"/>
                      <w:sz w:val="18"/>
                      <w:szCs w:val="18"/>
                      <w:lang w:val="en-US" w:eastAsia="de-AT"/>
                    </w:rPr>
                    <w:t>Tierärztin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555555"/>
                      <w:sz w:val="18"/>
                      <w:szCs w:val="18"/>
                      <w:lang w:val="en-US" w:eastAsia="de-AT"/>
                    </w:rPr>
                    <w:t>, Scientific Trainer DACH</w:t>
                  </w:r>
                </w:p>
              </w:tc>
            </w:tr>
            <w:tr w:rsidR="00087AD4" w:rsidTr="009C0B9F">
              <w:trPr>
                <w:trHeight w:val="9"/>
                <w:tblCellSpacing w:w="18" w:type="dxa"/>
              </w:trPr>
              <w:tc>
                <w:tcPr>
                  <w:tcW w:w="377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87AD4" w:rsidRDefault="00087AD4" w:rsidP="00B67287">
                  <w:pPr>
                    <w:framePr w:hSpace="51" w:wrap="around" w:vAnchor="text" w:hAnchor="text"/>
                  </w:pPr>
                </w:p>
              </w:tc>
            </w:tr>
            <w:tr w:rsidR="00087AD4" w:rsidTr="009C0B9F">
              <w:trPr>
                <w:trHeight w:val="405"/>
                <w:tblCellSpacing w:w="18" w:type="dxa"/>
              </w:trPr>
              <w:tc>
                <w:tcPr>
                  <w:tcW w:w="3778" w:type="dxa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87AD4" w:rsidRDefault="00087AD4" w:rsidP="00B67287">
                  <w:pPr>
                    <w:framePr w:hSpace="51" w:wrap="around" w:vAnchor="text" w:hAnchor="text"/>
                    <w:autoSpaceDN w:val="0"/>
                    <w:spacing w:after="100" w:afterAutospacing="1" w:line="276" w:lineRule="auto"/>
                    <w:ind w:right="150"/>
                    <w:rPr>
                      <w:rFonts w:ascii="Calibri" w:hAnsi="Calibri" w:cs="Calibri"/>
                    </w:rPr>
                  </w:pPr>
                  <w:r>
                    <w:rPr>
                      <w:rFonts w:ascii="Arial" w:hAnsi="Arial" w:cs="Arial"/>
                      <w:color w:val="E2000A"/>
                      <w:sz w:val="18"/>
                      <w:szCs w:val="18"/>
                      <w:lang w:eastAsia="de-AT"/>
                    </w:rPr>
                    <w:t>■</w:t>
                  </w:r>
                  <w:r>
                    <w:rPr>
                      <w:rFonts w:ascii="Arial" w:hAnsi="Arial" w:cs="Arial"/>
                      <w:color w:val="1E1D1C"/>
                      <w:sz w:val="18"/>
                      <w:szCs w:val="18"/>
                      <w:lang w:eastAsia="de-AT"/>
                    </w:rPr>
                    <w:t> </w:t>
                  </w:r>
                  <w:hyperlink r:id="rId9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  <w:lang w:eastAsia="de-AT"/>
                      </w:rPr>
                      <w:t>karin.uhl@royalcanin.com</w:t>
                    </w:r>
                  </w:hyperlink>
                </w:p>
                <w:p w:rsidR="00087AD4" w:rsidRDefault="00087AD4" w:rsidP="00B67287">
                  <w:pPr>
                    <w:framePr w:hSpace="51" w:wrap="around" w:vAnchor="text" w:hAnchor="text"/>
                    <w:autoSpaceDN w:val="0"/>
                    <w:spacing w:after="100" w:afterAutospacing="1" w:line="276" w:lineRule="auto"/>
                    <w:ind w:right="150"/>
                  </w:pPr>
                  <w:r>
                    <w:rPr>
                      <w:rFonts w:ascii="Arial" w:hAnsi="Arial" w:cs="Arial"/>
                      <w:color w:val="E2000A"/>
                      <w:sz w:val="18"/>
                      <w:szCs w:val="18"/>
                      <w:lang w:eastAsia="de-AT"/>
                    </w:rPr>
                    <w:t>■</w:t>
                  </w:r>
                  <w:r>
                    <w:rPr>
                      <w:rFonts w:ascii="Arial" w:hAnsi="Arial" w:cs="Arial"/>
                      <w:color w:val="1E1D1C"/>
                      <w:sz w:val="18"/>
                      <w:szCs w:val="18"/>
                      <w:lang w:eastAsia="de-AT"/>
                    </w:rPr>
                    <w:t> 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de-AT"/>
                    </w:rPr>
                    <w:t>+ 43 (0) 676 844 855 514</w:t>
                  </w:r>
                </w:p>
              </w:tc>
            </w:tr>
            <w:tr w:rsidR="00087AD4" w:rsidTr="009C0B9F">
              <w:trPr>
                <w:trHeight w:val="9"/>
                <w:tblCellSpacing w:w="18" w:type="dxa"/>
              </w:trPr>
              <w:tc>
                <w:tcPr>
                  <w:tcW w:w="377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87AD4" w:rsidRDefault="00087AD4" w:rsidP="00B67287">
                  <w:pPr>
                    <w:framePr w:hSpace="51" w:wrap="around" w:vAnchor="text" w:hAnchor="text"/>
                  </w:pPr>
                </w:p>
              </w:tc>
            </w:tr>
            <w:tr w:rsidR="00087AD4" w:rsidTr="009C0B9F">
              <w:trPr>
                <w:trHeight w:val="413"/>
                <w:tblCellSpacing w:w="18" w:type="dxa"/>
              </w:trPr>
              <w:tc>
                <w:tcPr>
                  <w:tcW w:w="377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87AD4" w:rsidRDefault="00087AD4" w:rsidP="00B67287">
                  <w:pPr>
                    <w:framePr w:hSpace="51" w:wrap="around" w:vAnchor="text" w:hAnchor="text"/>
                    <w:autoSpaceDN w:val="0"/>
                    <w:spacing w:after="100" w:afterAutospacing="1" w:line="276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1E1D1C"/>
                      <w:sz w:val="18"/>
                      <w:szCs w:val="18"/>
                      <w:lang w:val="en-US" w:eastAsia="de-AT"/>
                    </w:rPr>
                    <w:t xml:space="preserve">Royal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1E1D1C"/>
                      <w:sz w:val="18"/>
                      <w:szCs w:val="18"/>
                      <w:lang w:val="en-US" w:eastAsia="de-AT"/>
                    </w:rPr>
                    <w:t>Canin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1E1D1C"/>
                      <w:sz w:val="18"/>
                      <w:szCs w:val="18"/>
                      <w:lang w:val="en-US" w:eastAsia="de-AT"/>
                    </w:rPr>
                    <w:t xml:space="preserve"> GmbH</w:t>
                  </w:r>
                  <w:r>
                    <w:rPr>
                      <w:rFonts w:ascii="Arial" w:hAnsi="Arial" w:cs="Arial"/>
                      <w:color w:val="1F497D"/>
                      <w:sz w:val="18"/>
                      <w:szCs w:val="18"/>
                      <w:lang w:val="en-US" w:eastAsia="de-AT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color w:val="1E1D1C"/>
                      <w:sz w:val="18"/>
                      <w:szCs w:val="18"/>
                      <w:lang w:val="en-US" w:eastAsia="de-AT"/>
                    </w:rPr>
                    <w:t>Handelskai</w:t>
                  </w:r>
                  <w:proofErr w:type="spellEnd"/>
                  <w:r>
                    <w:rPr>
                      <w:rFonts w:ascii="Arial" w:hAnsi="Arial" w:cs="Arial"/>
                      <w:color w:val="1E1D1C"/>
                      <w:sz w:val="18"/>
                      <w:szCs w:val="18"/>
                      <w:lang w:val="en-US" w:eastAsia="de-AT"/>
                    </w:rPr>
                    <w:t xml:space="preserve"> 92, </w:t>
                  </w:r>
                  <w:proofErr w:type="spellStart"/>
                  <w:r>
                    <w:rPr>
                      <w:rFonts w:ascii="Arial" w:hAnsi="Arial" w:cs="Arial"/>
                      <w:color w:val="1E1D1C"/>
                      <w:sz w:val="18"/>
                      <w:szCs w:val="18"/>
                      <w:lang w:val="en-US" w:eastAsia="de-AT"/>
                    </w:rPr>
                    <w:t>Rivergate</w:t>
                  </w:r>
                  <w:proofErr w:type="spellEnd"/>
                  <w:r>
                    <w:rPr>
                      <w:rFonts w:ascii="Arial" w:hAnsi="Arial" w:cs="Arial"/>
                      <w:color w:val="1E1D1C"/>
                      <w:sz w:val="18"/>
                      <w:szCs w:val="18"/>
                      <w:lang w:val="en-US" w:eastAsia="de-AT"/>
                    </w:rPr>
                    <w:t xml:space="preserve"> Gate 1/OG 11</w:t>
                  </w:r>
                  <w:r>
                    <w:rPr>
                      <w:rFonts w:ascii="Arial" w:hAnsi="Arial" w:cs="Arial"/>
                      <w:color w:val="1F497D"/>
                      <w:sz w:val="18"/>
                      <w:szCs w:val="18"/>
                      <w:lang w:val="en-US" w:eastAsia="de-AT"/>
                    </w:rPr>
                    <w:br/>
                  </w:r>
                  <w:r>
                    <w:rPr>
                      <w:rFonts w:ascii="Arial" w:hAnsi="Arial" w:cs="Arial"/>
                      <w:color w:val="1E1D1C"/>
                      <w:sz w:val="18"/>
                      <w:szCs w:val="18"/>
                      <w:lang w:val="en-US" w:eastAsia="de-AT"/>
                    </w:rPr>
                    <w:t>1200 Wien - AUSTRIA</w:t>
                  </w:r>
                </w:p>
              </w:tc>
            </w:tr>
          </w:tbl>
          <w:p w:rsidR="00087AD4" w:rsidRDefault="00087AD4" w:rsidP="008242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087AD4" w:rsidTr="00746EF3">
        <w:trPr>
          <w:trHeight w:val="20"/>
        </w:trPr>
        <w:tc>
          <w:tcPr>
            <w:tcW w:w="2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AD4" w:rsidRDefault="00087AD4" w:rsidP="008242BD">
            <w:pPr>
              <w:autoSpaceDN w:val="0"/>
              <w:spacing w:after="100" w:afterAutospacing="1"/>
              <w:jc w:val="center"/>
              <w:rPr>
                <w:rFonts w:ascii="Calibri" w:hAnsi="Calibri" w:cs="Calibri"/>
              </w:rPr>
            </w:pPr>
            <w:r>
              <w:rPr>
                <w:noProof/>
                <w:lang w:eastAsia="de-AT"/>
              </w:rPr>
              <w:drawing>
                <wp:inline distT="0" distB="0" distL="0" distR="0">
                  <wp:extent cx="1478280" cy="1455420"/>
                  <wp:effectExtent l="0" t="0" r="7620" b="0"/>
                  <wp:docPr id="1" name="Grafik 1" descr="cid:image004.jpg@01D4EB98.3C89FE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4.jpg@01D4EB98.3C89FE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087AD4" w:rsidRDefault="00087AD4" w:rsidP="008242BD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7AD4" w:rsidRDefault="00087AD4" w:rsidP="008242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</w:tbl>
    <w:p w:rsidR="00087AD4" w:rsidRPr="00E86654" w:rsidRDefault="00746EF3" w:rsidP="007C2635">
      <w:pPr>
        <w:rPr>
          <w:lang w:val="de-DE"/>
        </w:rPr>
      </w:pPr>
      <w:r w:rsidRPr="00746EF3">
        <w:rPr>
          <w:lang w:val="de-DE"/>
        </w:rPr>
        <w:t>*</w:t>
      </w:r>
      <w:r w:rsidR="009C0B9F">
        <w:rPr>
          <w:lang w:val="de-DE"/>
        </w:rPr>
        <w:t xml:space="preserve"> 1 Bildungsstunde TGD wurde angesucht, </w:t>
      </w:r>
      <w:r w:rsidRPr="00746EF3">
        <w:rPr>
          <w:lang w:val="de-DE"/>
        </w:rPr>
        <w:t xml:space="preserve">Getränke werden von der Firma Royal </w:t>
      </w:r>
      <w:proofErr w:type="spellStart"/>
      <w:r w:rsidRPr="00746EF3">
        <w:rPr>
          <w:lang w:val="de-DE"/>
        </w:rPr>
        <w:t>Canin</w:t>
      </w:r>
      <w:proofErr w:type="spellEnd"/>
      <w:r w:rsidR="007C2635">
        <w:rPr>
          <w:lang w:val="de-DE"/>
        </w:rPr>
        <w:t xml:space="preserve"> zur Verfügung gestellt</w:t>
      </w:r>
    </w:p>
    <w:sectPr w:rsidR="00087AD4" w:rsidRPr="00E866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54"/>
    <w:rsid w:val="00087AD4"/>
    <w:rsid w:val="001333C5"/>
    <w:rsid w:val="002F52A4"/>
    <w:rsid w:val="003723C9"/>
    <w:rsid w:val="00467D73"/>
    <w:rsid w:val="00695A8A"/>
    <w:rsid w:val="007069F7"/>
    <w:rsid w:val="00746EF3"/>
    <w:rsid w:val="007C2635"/>
    <w:rsid w:val="00896E61"/>
    <w:rsid w:val="008E4354"/>
    <w:rsid w:val="009C0B9F"/>
    <w:rsid w:val="00A00D42"/>
    <w:rsid w:val="00B12739"/>
    <w:rsid w:val="00B67287"/>
    <w:rsid w:val="00E8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4E863-771B-48E6-AA64-0A74F721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87A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4EB98.3C89FEE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4EB98.3C89FEE0" TargetMode="External"/><Relationship Id="rId11" Type="http://schemas.openxmlformats.org/officeDocument/2006/relationships/image" Target="cid:image004.jpg@01D4EB98.3C89FEE0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mailto:karin.uhl@royalcan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Gruber, Thomas</dc:creator>
  <cp:keywords/>
  <dc:description/>
  <cp:lastModifiedBy>Gruber, Thomas</cp:lastModifiedBy>
  <cp:revision>6</cp:revision>
  <dcterms:created xsi:type="dcterms:W3CDTF">2019-04-10T07:32:00Z</dcterms:created>
  <dcterms:modified xsi:type="dcterms:W3CDTF">2019-04-10T07:43:00Z</dcterms:modified>
</cp:coreProperties>
</file>